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6D6" w:rsidRPr="00A042C2" w:rsidRDefault="003336D6" w:rsidP="003336D6">
      <w:pPr>
        <w:pStyle w:val="Heading1"/>
      </w:pPr>
      <w:r>
        <w:t>Evidence presentation system (EPS)</w:t>
      </w:r>
    </w:p>
    <w:p w:rsidR="003336D6" w:rsidRDefault="003336D6" w:rsidP="003336D6">
      <w:pPr>
        <w:spacing w:before="0" w:after="0" w:line="240" w:lineRule="auto"/>
      </w:pPr>
    </w:p>
    <w:p w:rsidR="003336D6" w:rsidRDefault="003336D6" w:rsidP="003336D6">
      <w:pPr>
        <w:pStyle w:val="Heading2"/>
        <w:spacing w:before="0"/>
      </w:pPr>
      <w:r>
        <w:t>goal</w:t>
      </w:r>
    </w:p>
    <w:p w:rsidR="003336D6" w:rsidRDefault="003336D6" w:rsidP="003336D6">
      <w:pPr>
        <w:pStyle w:val="ListParagraph"/>
        <w:numPr>
          <w:ilvl w:val="0"/>
          <w:numId w:val="1"/>
        </w:numPr>
        <w:spacing w:after="0" w:line="240" w:lineRule="auto"/>
      </w:pPr>
      <w:r>
        <w:t>Provide an electronic means of evidence presentation in the courtroom.</w:t>
      </w:r>
    </w:p>
    <w:p w:rsidR="003A54C3" w:rsidRDefault="003336D6" w:rsidP="003A54C3">
      <w:pPr>
        <w:pStyle w:val="ListParagraph"/>
        <w:numPr>
          <w:ilvl w:val="0"/>
          <w:numId w:val="1"/>
        </w:numPr>
        <w:spacing w:after="0" w:line="240" w:lineRule="auto"/>
      </w:pPr>
      <w:r>
        <w:t>EPS is available in both Lexington courtrooms.</w:t>
      </w:r>
    </w:p>
    <w:p w:rsidR="003A54C3" w:rsidRDefault="003336D6" w:rsidP="003A54C3">
      <w:pPr>
        <w:pStyle w:val="Heading2"/>
      </w:pPr>
      <w:r>
        <w:t>EPS</w:t>
      </w:r>
      <w:r w:rsidR="003A54C3" w:rsidRPr="003A54C3">
        <w:t xml:space="preserve"> </w:t>
      </w:r>
      <w:r w:rsidR="003A54C3">
        <w:t xml:space="preserve">TRAINING </w:t>
      </w:r>
    </w:p>
    <w:p w:rsidR="003A54C3" w:rsidRDefault="003A54C3" w:rsidP="003A54C3">
      <w:pPr>
        <w:pStyle w:val="ListParagraph"/>
        <w:numPr>
          <w:ilvl w:val="0"/>
          <w:numId w:val="1"/>
        </w:numPr>
        <w:spacing w:after="0" w:line="240" w:lineRule="auto"/>
      </w:pPr>
      <w:r>
        <w:t xml:space="preserve">EPS Training is mandatory.  </w:t>
      </w:r>
    </w:p>
    <w:p w:rsidR="003A54C3" w:rsidRDefault="003A54C3" w:rsidP="003A54C3">
      <w:pPr>
        <w:pStyle w:val="ListParagraph"/>
        <w:numPr>
          <w:ilvl w:val="0"/>
          <w:numId w:val="1"/>
        </w:numPr>
        <w:spacing w:after="0" w:line="240" w:lineRule="auto"/>
      </w:pPr>
      <w:r>
        <w:t xml:space="preserve">EPS Training arrangements </w:t>
      </w:r>
      <w:r w:rsidR="006B4DC0">
        <w:t>may</w:t>
      </w:r>
      <w:r>
        <w:t xml:space="preserve"> be made by contacting the </w:t>
      </w:r>
      <w:r w:rsidR="006B4DC0">
        <w:t>Courtroom Deputy (</w:t>
      </w:r>
      <w:r>
        <w:t>CRD</w:t>
      </w:r>
      <w:r w:rsidR="006B4DC0">
        <w:t>)</w:t>
      </w:r>
      <w:r>
        <w:t xml:space="preserve"> no later than ten (10) busi</w:t>
      </w:r>
      <w:r w:rsidR="006B4DC0">
        <w:t>ness days prior to any trial or evidentiary hearing date</w:t>
      </w:r>
      <w:r>
        <w:t xml:space="preserve">.  It is counsels' responsibility to complete training no later than three (3) business days prior to any trial or evidentiary hearing date.  </w:t>
      </w:r>
    </w:p>
    <w:p w:rsidR="003A54C3" w:rsidRDefault="00B365A6" w:rsidP="00B365A6">
      <w:pPr>
        <w:pStyle w:val="ListParagraph"/>
        <w:numPr>
          <w:ilvl w:val="0"/>
          <w:numId w:val="1"/>
        </w:numPr>
        <w:spacing w:after="0" w:line="240" w:lineRule="auto"/>
      </w:pPr>
      <w:r>
        <w:t xml:space="preserve">EPS Training is not required for counsel who have previously </w:t>
      </w:r>
      <w:r w:rsidR="00F36D3D">
        <w:t>received same.  C</w:t>
      </w:r>
      <w:r>
        <w:t>ounsel may</w:t>
      </w:r>
      <w:r w:rsidR="00F36D3D">
        <w:t>, however,</w:t>
      </w:r>
      <w:r>
        <w:t xml:space="preserve"> </w:t>
      </w:r>
      <w:r w:rsidR="00F36D3D">
        <w:t>retake</w:t>
      </w:r>
      <w:r w:rsidRPr="004B0072">
        <w:t xml:space="preserve"> training at their discretion.</w:t>
      </w:r>
    </w:p>
    <w:p w:rsidR="003336D6" w:rsidRDefault="003336D6" w:rsidP="003336D6">
      <w:pPr>
        <w:pStyle w:val="Heading2"/>
      </w:pPr>
      <w:r>
        <w:t xml:space="preserve"> </w:t>
      </w:r>
      <w:r w:rsidR="003A54C3">
        <w:t xml:space="preserve">EPS </w:t>
      </w:r>
      <w:r>
        <w:t>STATIONS</w:t>
      </w:r>
    </w:p>
    <w:p w:rsidR="003336D6" w:rsidRDefault="003336D6" w:rsidP="003336D6">
      <w:pPr>
        <w:pStyle w:val="ListParagraph"/>
        <w:numPr>
          <w:ilvl w:val="0"/>
          <w:numId w:val="1"/>
        </w:numPr>
        <w:spacing w:after="0" w:line="240" w:lineRule="auto"/>
      </w:pPr>
      <w:r>
        <w:t>Counsel tables (2 monitors per table) – the monitors located furthest from the podium at each counsel table are Evidence Display Stations (EDS).  The monitor at the podium and counsel table monitors located closest to the podium may be used for annotation.</w:t>
      </w:r>
    </w:p>
    <w:p w:rsidR="003336D6" w:rsidRDefault="003336D6" w:rsidP="003336D6">
      <w:pPr>
        <w:pStyle w:val="ListParagraph"/>
        <w:numPr>
          <w:ilvl w:val="0"/>
          <w:numId w:val="1"/>
        </w:numPr>
        <w:spacing w:after="0" w:line="240" w:lineRule="auto"/>
      </w:pPr>
      <w:r>
        <w:t>The (CRD) will alternate control between monitors to allow access and will clear annotations, as requested.</w:t>
      </w:r>
      <w:bookmarkStart w:id="0" w:name="_GoBack"/>
      <w:bookmarkEnd w:id="0"/>
      <w:r>
        <w:t xml:space="preserve">  EDS screen of presenting counsel will be displayed on all monitors in the courtroom except EDS of opposing counsel.</w:t>
      </w:r>
    </w:p>
    <w:p w:rsidR="003336D6" w:rsidRDefault="003336D6" w:rsidP="003336D6">
      <w:pPr>
        <w:pStyle w:val="ListParagraph"/>
        <w:numPr>
          <w:ilvl w:val="0"/>
          <w:numId w:val="1"/>
        </w:numPr>
        <w:spacing w:after="0" w:line="240" w:lineRule="auto"/>
      </w:pPr>
      <w:r>
        <w:t>Podium - Evidence presentation can take place entirely from the podium.</w:t>
      </w:r>
    </w:p>
    <w:p w:rsidR="003336D6" w:rsidRDefault="003336D6" w:rsidP="003336D6">
      <w:pPr>
        <w:pStyle w:val="ListParagraph"/>
        <w:numPr>
          <w:ilvl w:val="0"/>
          <w:numId w:val="1"/>
        </w:numPr>
        <w:spacing w:after="0" w:line="240" w:lineRule="auto"/>
      </w:pPr>
      <w:r>
        <w:t xml:space="preserve">Witness box (witnesses should not touch the screen unless directed to do so). </w:t>
      </w:r>
    </w:p>
    <w:p w:rsidR="003336D6" w:rsidRDefault="003336D6" w:rsidP="003336D6">
      <w:pPr>
        <w:pStyle w:val="Heading2"/>
      </w:pPr>
      <w:r>
        <w:t>EVIDENCE PRESENTATION</w:t>
      </w:r>
    </w:p>
    <w:p w:rsidR="003336D6" w:rsidRDefault="003336D6" w:rsidP="003336D6">
      <w:pPr>
        <w:pStyle w:val="ListParagraph"/>
        <w:numPr>
          <w:ilvl w:val="0"/>
          <w:numId w:val="1"/>
        </w:numPr>
        <w:spacing w:after="0" w:line="240" w:lineRule="auto"/>
      </w:pPr>
      <w:r>
        <w:t>Counsel will open files directly from ECF and verbally reference the related ECF document/exhibit number(s).  Counsel will access the exhibits from the EDS as follows:</w:t>
      </w:r>
    </w:p>
    <w:tbl>
      <w:tblPr>
        <w:tblW w:w="0" w:type="auto"/>
        <w:tblInd w:w="565" w:type="dxa"/>
        <w:tblBorders>
          <w:top w:val="single" w:sz="8" w:space="0" w:color="000000"/>
          <w:left w:val="single" w:sz="8" w:space="0" w:color="000000"/>
          <w:bottom w:val="single" w:sz="8" w:space="0" w:color="000000"/>
          <w:right w:val="single" w:sz="8" w:space="0" w:color="000000"/>
        </w:tblBorders>
        <w:tblLook w:val="04A0"/>
      </w:tblPr>
      <w:tblGrid>
        <w:gridCol w:w="810"/>
        <w:gridCol w:w="9630"/>
      </w:tblGrid>
      <w:tr w:rsidR="003336D6" w:rsidRPr="002616E5" w:rsidTr="006B4DC0">
        <w:trPr>
          <w:tblHeader/>
        </w:trPr>
        <w:tc>
          <w:tcPr>
            <w:tcW w:w="810" w:type="dxa"/>
            <w:tcBorders>
              <w:top w:val="single" w:sz="8" w:space="0" w:color="000000"/>
              <w:bottom w:val="single" w:sz="8" w:space="0" w:color="000000"/>
              <w:right w:val="single" w:sz="4" w:space="0" w:color="auto"/>
            </w:tcBorders>
            <w:shd w:val="clear" w:color="auto" w:fill="000000"/>
            <w:tcMar>
              <w:top w:w="72" w:type="dxa"/>
              <w:left w:w="115" w:type="dxa"/>
              <w:bottom w:w="72" w:type="dxa"/>
              <w:right w:w="115" w:type="dxa"/>
            </w:tcMar>
          </w:tcPr>
          <w:p w:rsidR="003336D6" w:rsidRPr="002616E5" w:rsidRDefault="003336D6" w:rsidP="006B4DC0">
            <w:r w:rsidRPr="002616E5">
              <w:t>STEP</w:t>
            </w:r>
          </w:p>
        </w:tc>
        <w:tc>
          <w:tcPr>
            <w:tcW w:w="9630" w:type="dxa"/>
            <w:tcBorders>
              <w:left w:val="single" w:sz="4" w:space="0" w:color="auto"/>
            </w:tcBorders>
            <w:shd w:val="clear" w:color="auto" w:fill="000000"/>
            <w:tcMar>
              <w:top w:w="72" w:type="dxa"/>
              <w:left w:w="115" w:type="dxa"/>
              <w:bottom w:w="72" w:type="dxa"/>
              <w:right w:w="115" w:type="dxa"/>
            </w:tcMar>
          </w:tcPr>
          <w:p w:rsidR="003336D6" w:rsidRPr="002616E5" w:rsidRDefault="003336D6" w:rsidP="006B4DC0">
            <w:r w:rsidRPr="002616E5">
              <w:t>ACTION</w:t>
            </w:r>
          </w:p>
        </w:tc>
      </w:tr>
      <w:tr w:rsidR="003336D6" w:rsidRPr="00DD6873" w:rsidTr="006B4DC0">
        <w:tc>
          <w:tcPr>
            <w:tcW w:w="810" w:type="dxa"/>
            <w:tcBorders>
              <w:top w:val="single" w:sz="8" w:space="0" w:color="000000"/>
              <w:left w:val="single" w:sz="8" w:space="0" w:color="000000"/>
              <w:bottom w:val="single" w:sz="8" w:space="0" w:color="000000"/>
              <w:right w:val="single" w:sz="4" w:space="0" w:color="auto"/>
            </w:tcBorders>
            <w:tcMar>
              <w:top w:w="72" w:type="dxa"/>
              <w:left w:w="115" w:type="dxa"/>
              <w:bottom w:w="72" w:type="dxa"/>
              <w:right w:w="115" w:type="dxa"/>
            </w:tcMar>
          </w:tcPr>
          <w:p w:rsidR="003336D6" w:rsidRPr="00DD6873" w:rsidRDefault="003336D6" w:rsidP="006B4DC0">
            <w:pPr>
              <w:spacing w:before="0" w:after="0" w:line="240" w:lineRule="auto"/>
              <w:jc w:val="center"/>
              <w:rPr>
                <w:rFonts w:ascii="Arial" w:hAnsi="Arial" w:cs="Arial"/>
                <w:b/>
                <w:bCs/>
                <w:szCs w:val="24"/>
              </w:rPr>
            </w:pPr>
            <w:r w:rsidRPr="00DD6873">
              <w:rPr>
                <w:rFonts w:ascii="Arial" w:hAnsi="Arial" w:cs="Arial"/>
                <w:b/>
                <w:bCs/>
                <w:szCs w:val="24"/>
              </w:rPr>
              <w:t>1</w:t>
            </w:r>
          </w:p>
        </w:tc>
        <w:tc>
          <w:tcPr>
            <w:tcW w:w="9630" w:type="dxa"/>
            <w:tcBorders>
              <w:top w:val="single" w:sz="8" w:space="0" w:color="000000"/>
              <w:left w:val="single" w:sz="4" w:space="0" w:color="auto"/>
              <w:bottom w:val="single" w:sz="8" w:space="0" w:color="000000"/>
              <w:right w:val="single" w:sz="8" w:space="0" w:color="000000"/>
            </w:tcBorders>
            <w:tcMar>
              <w:top w:w="72" w:type="dxa"/>
              <w:left w:w="115" w:type="dxa"/>
              <w:bottom w:w="72" w:type="dxa"/>
              <w:right w:w="115" w:type="dxa"/>
            </w:tcMar>
          </w:tcPr>
          <w:p w:rsidR="003336D6" w:rsidRPr="00DD6873" w:rsidRDefault="003336D6" w:rsidP="006B4DC0">
            <w:pPr>
              <w:spacing w:before="0" w:after="0" w:line="240" w:lineRule="auto"/>
              <w:rPr>
                <w:rFonts w:ascii="Arial" w:hAnsi="Arial" w:cs="Arial"/>
                <w:szCs w:val="24"/>
              </w:rPr>
            </w:pPr>
            <w:r>
              <w:rPr>
                <w:rFonts w:ascii="Arial" w:hAnsi="Arial" w:cs="Arial"/>
                <w:szCs w:val="24"/>
              </w:rPr>
              <w:t xml:space="preserve">Open Reports menu and click </w:t>
            </w:r>
            <w:r w:rsidRPr="004B0A8E">
              <w:rPr>
                <w:rFonts w:ascii="Arial" w:hAnsi="Arial" w:cs="Arial"/>
                <w:b/>
                <w:szCs w:val="24"/>
              </w:rPr>
              <w:t>Docket Report</w:t>
            </w:r>
            <w:r>
              <w:rPr>
                <w:rFonts w:ascii="Arial" w:hAnsi="Arial" w:cs="Arial"/>
                <w:szCs w:val="24"/>
              </w:rPr>
              <w:t xml:space="preserve"> </w:t>
            </w:r>
          </w:p>
        </w:tc>
      </w:tr>
      <w:tr w:rsidR="003336D6" w:rsidRPr="00DD6873" w:rsidTr="006B4DC0">
        <w:tc>
          <w:tcPr>
            <w:tcW w:w="810" w:type="dxa"/>
            <w:tcBorders>
              <w:top w:val="single" w:sz="8" w:space="0" w:color="000000"/>
              <w:bottom w:val="single" w:sz="8" w:space="0" w:color="000000"/>
              <w:right w:val="single" w:sz="4" w:space="0" w:color="auto"/>
            </w:tcBorders>
            <w:tcMar>
              <w:top w:w="72" w:type="dxa"/>
              <w:left w:w="115" w:type="dxa"/>
              <w:bottom w:w="72" w:type="dxa"/>
              <w:right w:w="115" w:type="dxa"/>
            </w:tcMar>
          </w:tcPr>
          <w:p w:rsidR="003336D6" w:rsidRPr="00DD6873" w:rsidRDefault="003336D6" w:rsidP="006B4DC0">
            <w:pPr>
              <w:spacing w:before="0" w:after="0" w:line="240" w:lineRule="auto"/>
              <w:jc w:val="center"/>
              <w:rPr>
                <w:rFonts w:ascii="Arial" w:hAnsi="Arial" w:cs="Arial"/>
                <w:b/>
                <w:bCs/>
                <w:szCs w:val="24"/>
              </w:rPr>
            </w:pPr>
            <w:r w:rsidRPr="00DD6873">
              <w:rPr>
                <w:rFonts w:ascii="Arial" w:hAnsi="Arial" w:cs="Arial"/>
                <w:b/>
                <w:bCs/>
                <w:szCs w:val="24"/>
              </w:rPr>
              <w:t>2</w:t>
            </w:r>
          </w:p>
        </w:tc>
        <w:tc>
          <w:tcPr>
            <w:tcW w:w="9630" w:type="dxa"/>
            <w:tcBorders>
              <w:left w:val="single" w:sz="4" w:space="0" w:color="auto"/>
            </w:tcBorders>
            <w:tcMar>
              <w:top w:w="72" w:type="dxa"/>
              <w:left w:w="115" w:type="dxa"/>
              <w:bottom w:w="72" w:type="dxa"/>
              <w:right w:w="115" w:type="dxa"/>
            </w:tcMar>
          </w:tcPr>
          <w:p w:rsidR="003336D6" w:rsidRPr="00DD6873" w:rsidRDefault="003336D6" w:rsidP="006B4DC0">
            <w:pPr>
              <w:spacing w:before="0" w:after="0" w:line="240" w:lineRule="auto"/>
              <w:rPr>
                <w:rFonts w:ascii="Arial" w:hAnsi="Arial" w:cs="Arial"/>
                <w:szCs w:val="24"/>
              </w:rPr>
            </w:pPr>
            <w:r>
              <w:rPr>
                <w:rFonts w:ascii="Arial" w:hAnsi="Arial" w:cs="Arial"/>
                <w:szCs w:val="24"/>
              </w:rPr>
              <w:t>Enter appropriate case number</w:t>
            </w:r>
          </w:p>
        </w:tc>
      </w:tr>
      <w:tr w:rsidR="003336D6" w:rsidRPr="00DD6873" w:rsidTr="006B4DC0">
        <w:tc>
          <w:tcPr>
            <w:tcW w:w="810" w:type="dxa"/>
            <w:tcBorders>
              <w:top w:val="single" w:sz="8" w:space="0" w:color="000000"/>
              <w:left w:val="single" w:sz="8" w:space="0" w:color="000000"/>
              <w:bottom w:val="single" w:sz="8" w:space="0" w:color="000000"/>
              <w:right w:val="single" w:sz="4" w:space="0" w:color="auto"/>
            </w:tcBorders>
            <w:tcMar>
              <w:top w:w="72" w:type="dxa"/>
              <w:left w:w="115" w:type="dxa"/>
              <w:bottom w:w="72" w:type="dxa"/>
              <w:right w:w="115" w:type="dxa"/>
            </w:tcMar>
          </w:tcPr>
          <w:p w:rsidR="003336D6" w:rsidRPr="00062BC5" w:rsidRDefault="003336D6" w:rsidP="006B4DC0">
            <w:pPr>
              <w:spacing w:before="0" w:after="0" w:line="240" w:lineRule="auto"/>
              <w:jc w:val="center"/>
              <w:rPr>
                <w:rFonts w:ascii="Arial" w:hAnsi="Arial" w:cs="Arial"/>
                <w:b/>
                <w:bCs/>
                <w:szCs w:val="24"/>
              </w:rPr>
            </w:pPr>
            <w:r w:rsidRPr="00062BC5">
              <w:rPr>
                <w:rFonts w:ascii="Arial" w:hAnsi="Arial" w:cs="Arial"/>
                <w:b/>
                <w:bCs/>
                <w:szCs w:val="24"/>
              </w:rPr>
              <w:t>3</w:t>
            </w:r>
          </w:p>
        </w:tc>
        <w:tc>
          <w:tcPr>
            <w:tcW w:w="9630" w:type="dxa"/>
            <w:tcBorders>
              <w:top w:val="single" w:sz="8" w:space="0" w:color="000000"/>
              <w:left w:val="single" w:sz="4" w:space="0" w:color="auto"/>
              <w:bottom w:val="single" w:sz="8" w:space="0" w:color="000000"/>
              <w:right w:val="single" w:sz="8" w:space="0" w:color="000000"/>
            </w:tcBorders>
            <w:tcMar>
              <w:top w:w="72" w:type="dxa"/>
              <w:left w:w="115" w:type="dxa"/>
              <w:bottom w:w="72" w:type="dxa"/>
              <w:right w:w="115" w:type="dxa"/>
            </w:tcMar>
          </w:tcPr>
          <w:p w:rsidR="003336D6" w:rsidRPr="00DD6873" w:rsidRDefault="003336D6" w:rsidP="006B4DC0">
            <w:pPr>
              <w:spacing w:before="0" w:after="0" w:line="240" w:lineRule="auto"/>
              <w:rPr>
                <w:rFonts w:ascii="Arial" w:hAnsi="Arial" w:cs="Arial"/>
                <w:szCs w:val="24"/>
              </w:rPr>
            </w:pPr>
            <w:r>
              <w:rPr>
                <w:rFonts w:ascii="Arial" w:hAnsi="Arial" w:cs="Arial"/>
                <w:szCs w:val="24"/>
              </w:rPr>
              <w:t>Run Docket Report and select document number of entry to be presented as evidence.</w:t>
            </w:r>
          </w:p>
        </w:tc>
      </w:tr>
      <w:tr w:rsidR="003336D6" w:rsidRPr="00DD6873" w:rsidTr="006B4DC0">
        <w:tc>
          <w:tcPr>
            <w:tcW w:w="810" w:type="dxa"/>
            <w:tcBorders>
              <w:top w:val="single" w:sz="8" w:space="0" w:color="000000"/>
              <w:left w:val="single" w:sz="8" w:space="0" w:color="000000"/>
              <w:bottom w:val="single" w:sz="8" w:space="0" w:color="000000"/>
              <w:right w:val="single" w:sz="4" w:space="0" w:color="auto"/>
            </w:tcBorders>
            <w:tcMar>
              <w:top w:w="72" w:type="dxa"/>
              <w:left w:w="115" w:type="dxa"/>
              <w:bottom w:w="72" w:type="dxa"/>
              <w:right w:w="115" w:type="dxa"/>
            </w:tcMar>
          </w:tcPr>
          <w:p w:rsidR="003336D6" w:rsidRPr="00062BC5" w:rsidRDefault="003336D6" w:rsidP="006B4DC0">
            <w:pPr>
              <w:spacing w:before="0" w:after="0" w:line="240" w:lineRule="auto"/>
              <w:jc w:val="center"/>
              <w:rPr>
                <w:rFonts w:ascii="Arial" w:hAnsi="Arial" w:cs="Arial"/>
                <w:b/>
                <w:bCs/>
                <w:szCs w:val="24"/>
              </w:rPr>
            </w:pPr>
            <w:r w:rsidRPr="00062BC5">
              <w:rPr>
                <w:rFonts w:ascii="Arial" w:hAnsi="Arial" w:cs="Arial"/>
                <w:b/>
                <w:bCs/>
                <w:szCs w:val="24"/>
              </w:rPr>
              <w:t>4</w:t>
            </w:r>
          </w:p>
        </w:tc>
        <w:tc>
          <w:tcPr>
            <w:tcW w:w="9630" w:type="dxa"/>
            <w:tcBorders>
              <w:top w:val="single" w:sz="8" w:space="0" w:color="000000"/>
              <w:left w:val="single" w:sz="4" w:space="0" w:color="auto"/>
              <w:bottom w:val="single" w:sz="8" w:space="0" w:color="000000"/>
              <w:right w:val="single" w:sz="8" w:space="0" w:color="000000"/>
            </w:tcBorders>
            <w:tcMar>
              <w:top w:w="72" w:type="dxa"/>
              <w:left w:w="115" w:type="dxa"/>
              <w:bottom w:w="72" w:type="dxa"/>
              <w:right w:w="115" w:type="dxa"/>
            </w:tcMar>
          </w:tcPr>
          <w:p w:rsidR="003336D6" w:rsidRPr="00062BC5" w:rsidRDefault="003336D6" w:rsidP="006B4DC0">
            <w:pPr>
              <w:autoSpaceDE w:val="0"/>
              <w:autoSpaceDN w:val="0"/>
              <w:adjustRightInd w:val="0"/>
              <w:spacing w:before="0" w:after="0" w:line="240" w:lineRule="auto"/>
              <w:rPr>
                <w:rFonts w:ascii="Helv" w:hAnsi="Helv" w:cs="Helv"/>
                <w:color w:val="000000"/>
                <w:szCs w:val="24"/>
                <w:lang w:bidi="ar-SA"/>
              </w:rPr>
            </w:pPr>
            <w:r w:rsidRPr="00062BC5">
              <w:rPr>
                <w:rFonts w:ascii="Helv" w:hAnsi="Helv" w:cs="Helv"/>
                <w:color w:val="000000"/>
                <w:szCs w:val="24"/>
                <w:lang w:bidi="ar-SA"/>
              </w:rPr>
              <w:t>Click the back arrow to return to Docket Report</w:t>
            </w:r>
          </w:p>
        </w:tc>
      </w:tr>
    </w:tbl>
    <w:p w:rsidR="003336D6" w:rsidRDefault="003336D6" w:rsidP="003336D6">
      <w:pPr>
        <w:pStyle w:val="ListParagraph"/>
        <w:numPr>
          <w:ilvl w:val="0"/>
          <w:numId w:val="1"/>
        </w:numPr>
        <w:spacing w:after="0" w:line="240" w:lineRule="auto"/>
      </w:pPr>
      <w:r>
        <w:t>Annotations can be made on the screen, but do not alter the document and are not retained in the record.  Annotations cannot be shown again once cleared from the screen, except by recreating the annotation.</w:t>
      </w:r>
    </w:p>
    <w:p w:rsidR="003336D6" w:rsidRDefault="003336D6" w:rsidP="003336D6">
      <w:pPr>
        <w:pStyle w:val="ListParagraph"/>
        <w:numPr>
          <w:ilvl w:val="0"/>
          <w:numId w:val="1"/>
        </w:numPr>
        <w:spacing w:after="0" w:line="240" w:lineRule="auto"/>
      </w:pPr>
      <w:r>
        <w:t>The CRD will clear annotations at counsel's request.</w:t>
      </w:r>
    </w:p>
    <w:p w:rsidR="003336D6" w:rsidRDefault="003336D6" w:rsidP="003336D6">
      <w:pPr>
        <w:pStyle w:val="ListParagraph"/>
        <w:numPr>
          <w:ilvl w:val="0"/>
          <w:numId w:val="1"/>
        </w:numPr>
        <w:spacing w:after="0" w:line="240" w:lineRule="auto"/>
      </w:pPr>
      <w:r>
        <w:t>If counsel wishes to have an annotation noted for the record, they must verbally state as much.</w:t>
      </w:r>
    </w:p>
    <w:p w:rsidR="003336D6" w:rsidRDefault="003336D6" w:rsidP="003336D6">
      <w:pPr>
        <w:pStyle w:val="ListParagraph"/>
        <w:numPr>
          <w:ilvl w:val="0"/>
          <w:numId w:val="1"/>
        </w:numPr>
        <w:spacing w:after="0" w:line="240" w:lineRule="auto"/>
      </w:pPr>
      <w:r>
        <w:t>If a party presents/annotates multiple documents, opposing counsel should track annotations they wish to address during rebuttal as annotations may be cleared.</w:t>
      </w:r>
    </w:p>
    <w:sectPr w:rsidR="003336D6" w:rsidSect="003336D6">
      <w:pgSz w:w="12240" w:h="15840"/>
      <w:pgMar w:top="270" w:right="720" w:bottom="27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31CC"/>
    <w:multiLevelType w:val="hybridMultilevel"/>
    <w:tmpl w:val="5314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3336D6"/>
    <w:rsid w:val="003336D6"/>
    <w:rsid w:val="003349C0"/>
    <w:rsid w:val="003A54C3"/>
    <w:rsid w:val="00524BD2"/>
    <w:rsid w:val="00534931"/>
    <w:rsid w:val="005C6035"/>
    <w:rsid w:val="006B4DC0"/>
    <w:rsid w:val="008B4F80"/>
    <w:rsid w:val="008D7EFB"/>
    <w:rsid w:val="00950797"/>
    <w:rsid w:val="00993900"/>
    <w:rsid w:val="00A71F29"/>
    <w:rsid w:val="00B365A6"/>
    <w:rsid w:val="00F36D3D"/>
    <w:rsid w:val="00F86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D6"/>
    <w:pPr>
      <w:spacing w:before="200"/>
    </w:pPr>
    <w:rPr>
      <w:rFonts w:ascii="Calibri" w:eastAsia="Times New Roman" w:hAnsi="Calibri" w:cs="Times New Roman"/>
      <w:sz w:val="24"/>
      <w:szCs w:val="20"/>
      <w:lang w:bidi="en-US"/>
    </w:rPr>
  </w:style>
  <w:style w:type="paragraph" w:styleId="Heading1">
    <w:name w:val="heading 1"/>
    <w:basedOn w:val="Normal"/>
    <w:next w:val="Normal"/>
    <w:link w:val="Heading1Char"/>
    <w:autoRedefine/>
    <w:uiPriority w:val="9"/>
    <w:qFormat/>
    <w:rsid w:val="003336D6"/>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32"/>
      <w:szCs w:val="22"/>
    </w:rPr>
  </w:style>
  <w:style w:type="paragraph" w:styleId="Heading2">
    <w:name w:val="heading 2"/>
    <w:basedOn w:val="Normal"/>
    <w:next w:val="Normal"/>
    <w:link w:val="Heading2Char"/>
    <w:autoRedefine/>
    <w:uiPriority w:val="9"/>
    <w:unhideWhenUsed/>
    <w:qFormat/>
    <w:rsid w:val="003336D6"/>
    <w:pPr>
      <w:pBdr>
        <w:top w:val="single" w:sz="24" w:space="0" w:color="DBE5F1"/>
        <w:left w:val="single" w:sz="24" w:space="0" w:color="DBE5F1"/>
        <w:bottom w:val="single" w:sz="24" w:space="0" w:color="DBE5F1"/>
        <w:right w:val="single" w:sz="24" w:space="0" w:color="DBE5F1"/>
      </w:pBdr>
      <w:shd w:val="clear" w:color="auto" w:fill="DBE5F1"/>
      <w:spacing w:after="0"/>
      <w:ind w:left="288"/>
      <w:outlineLvl w:val="1"/>
    </w:pPr>
    <w:rPr>
      <w:b/>
      <w:caps/>
      <w:spacing w:val="15"/>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D6"/>
    <w:rPr>
      <w:rFonts w:ascii="Calibri" w:eastAsia="Times New Roman" w:hAnsi="Calibri" w:cs="Times New Roman"/>
      <w:b/>
      <w:bCs/>
      <w:caps/>
      <w:color w:val="FFFFFF"/>
      <w:spacing w:val="15"/>
      <w:sz w:val="32"/>
      <w:shd w:val="clear" w:color="auto" w:fill="4F81BD"/>
      <w:lang w:bidi="en-US"/>
    </w:rPr>
  </w:style>
  <w:style w:type="character" w:customStyle="1" w:styleId="Heading2Char">
    <w:name w:val="Heading 2 Char"/>
    <w:basedOn w:val="DefaultParagraphFont"/>
    <w:link w:val="Heading2"/>
    <w:uiPriority w:val="9"/>
    <w:rsid w:val="003336D6"/>
    <w:rPr>
      <w:rFonts w:ascii="Calibri" w:eastAsia="Times New Roman" w:hAnsi="Calibri" w:cs="Times New Roman"/>
      <w:b/>
      <w:caps/>
      <w:spacing w:val="15"/>
      <w:sz w:val="28"/>
      <w:shd w:val="clear" w:color="auto" w:fill="DBE5F1"/>
      <w:lang w:bidi="en-US"/>
    </w:rPr>
  </w:style>
  <w:style w:type="paragraph" w:styleId="ListParagraph">
    <w:name w:val="List Paragraph"/>
    <w:basedOn w:val="Normal"/>
    <w:uiPriority w:val="34"/>
    <w:qFormat/>
    <w:rsid w:val="003336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Evidence presentation system (EPS)</vt:lpstr>
      <vt:lpstr>    goal</vt:lpstr>
      <vt:lpstr>    EPS TRAINING </vt:lpstr>
      <vt:lpstr>    EPS STATIONS</vt:lpstr>
      <vt:lpstr>    EVIDENCE PRESENTATION</vt:lpstr>
    </vt:vector>
  </TitlesOfParts>
  <Company>Microsoft</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Heil</dc:creator>
  <cp:lastModifiedBy>Ruth Heil</cp:lastModifiedBy>
  <cp:revision>2</cp:revision>
  <dcterms:created xsi:type="dcterms:W3CDTF">2017-09-06T12:57:00Z</dcterms:created>
  <dcterms:modified xsi:type="dcterms:W3CDTF">2017-09-06T12:57:00Z</dcterms:modified>
</cp:coreProperties>
</file>